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ind w:left="-709"/>
        <w:jc w:val="both"/>
        <w:rPr>
          <w:i/>
          <w:color w:val="ff0000"/>
          <w:sz w:val="30"/>
          <w:szCs w:val="30"/>
          <w:shd w:val="clear" w:color="auto" w:fill="ffffff"/>
        </w:rPr>
      </w:pPr>
      <w:r>
        <w:rPr>
          <w:i/>
          <w:color w:val="ff0000"/>
          <w:sz w:val="30"/>
          <w:szCs w:val="30"/>
          <w:shd w:val="clear" w:color="auto" w:fill="ffffff"/>
        </w:rPr>
        <w:t xml:space="preserve">Факт уплаты государственной пошлины плательщиком в безналичной форме подтверждается </w:t>
      </w:r>
      <w:r>
        <w:rPr>
          <w:b/>
          <w:i/>
          <w:color w:val="ff0000"/>
          <w:sz w:val="30"/>
          <w:szCs w:val="30"/>
          <w:shd w:val="clear" w:color="auto" w:fill="ffffff"/>
        </w:rPr>
        <w:t xml:space="preserve">платежным поручением с отметкой банка</w:t>
      </w:r>
      <w:r>
        <w:rPr>
          <w:i/>
          <w:color w:val="ff0000"/>
          <w:sz w:val="30"/>
          <w:szCs w:val="30"/>
          <w:shd w:val="clear" w:color="auto" w:fill="ffffff"/>
        </w:rPr>
        <w:t xml:space="preserve"> или соответствующего территориального органа Федерального казначейства (иного органа, осуществляющего открытие и ведение счетов), в то</w:t>
      </w:r>
      <w:r>
        <w:rPr>
          <w:i/>
          <w:color w:val="ff0000"/>
          <w:sz w:val="30"/>
          <w:szCs w:val="30"/>
          <w:shd w:val="clear" w:color="auto" w:fill="ffffff"/>
        </w:rPr>
        <w:t xml:space="preserve">м числе производящего расчеты в электронной форме, о его исполнении.</w:t>
      </w:r>
      <w:r/>
    </w:p>
    <w:p>
      <w:pPr>
        <w:pStyle w:val="603"/>
        <w:ind w:left="-709"/>
        <w:jc w:val="both"/>
        <w:rPr>
          <w:i/>
          <w:color w:val="ff0000"/>
          <w:sz w:val="30"/>
          <w:szCs w:val="30"/>
          <w:shd w:val="clear" w:color="auto" w:fill="ffffff"/>
        </w:rPr>
      </w:pPr>
      <w:r>
        <w:rPr>
          <w:i/>
          <w:color w:val="ff0000"/>
          <w:sz w:val="30"/>
          <w:szCs w:val="30"/>
          <w:shd w:val="clear" w:color="auto" w:fill="ffffff"/>
        </w:rPr>
        <w:t xml:space="preserve">(НК РФ Статья 333.18. п.3. Порядок и сроки уплаты государственной пошлины)</w:t>
      </w:r>
      <w:r>
        <w:rPr>
          <w:i/>
          <w:color w:val="ff0000"/>
          <w:sz w:val="30"/>
          <w:szCs w:val="30"/>
          <w:shd w:val="clear" w:color="auto" w:fill="ffffff"/>
        </w:rPr>
      </w:r>
      <w:r/>
    </w:p>
    <w:p>
      <w:pPr>
        <w:pStyle w:val="603"/>
        <w:ind w:left="-709"/>
        <w:jc w:val="both"/>
        <w:rPr>
          <w:b/>
          <w:i/>
          <w:color w:val="ff0000"/>
          <w:sz w:val="30"/>
          <w:szCs w:val="30"/>
          <w:shd w:val="clear" w:color="auto" w:fill="ffffff"/>
        </w:rPr>
      </w:pPr>
      <w:r>
        <w:rPr>
          <w:b/>
          <w:i/>
          <w:color w:val="ff0000"/>
          <w:sz w:val="30"/>
          <w:szCs w:val="30"/>
          <w:shd w:val="clear" w:color="auto" w:fill="ffffff"/>
        </w:rPr>
        <w:t xml:space="preserve">Распечатки, копии, сканы платежных поручений без оригинальной отметки банка (штамп/печать/подпись операциониста)</w:t>
      </w:r>
      <w:r>
        <w:rPr>
          <w:b/>
          <w:i/>
          <w:color w:val="ff0000"/>
          <w:sz w:val="30"/>
          <w:szCs w:val="30"/>
          <w:shd w:val="clear" w:color="auto" w:fill="ffffff"/>
        </w:rPr>
        <w:t xml:space="preserve"> не принимаются и могут увеличить срок рассмотрения заявлений на 1 месяц)</w:t>
      </w:r>
      <w:r>
        <w:rPr>
          <w:b/>
          <w:i/>
          <w:color w:val="ff0000"/>
          <w:sz w:val="30"/>
          <w:szCs w:val="30"/>
          <w:shd w:val="clear" w:color="auto" w:fill="ffffff"/>
        </w:rPr>
      </w:r>
      <w:r/>
    </w:p>
    <w:p>
      <w:pPr>
        <w:pStyle w:val="603"/>
        <w:ind w:left="-709"/>
        <w:jc w:val="both"/>
        <w:rPr>
          <w:b/>
          <w:i/>
          <w:color w:val="ff0000"/>
          <w:sz w:val="30"/>
          <w:szCs w:val="30"/>
          <w:shd w:val="clear" w:color="auto" w:fill="ffffff"/>
        </w:rPr>
      </w:pPr>
      <w:r>
        <w:rPr>
          <w:b/>
          <w:i/>
          <w:color w:val="ff0000"/>
          <w:sz w:val="30"/>
          <w:szCs w:val="30"/>
          <w:shd w:val="clear" w:color="auto" w:fill="ffffff"/>
        </w:rPr>
      </w:r>
      <w:r/>
    </w:p>
    <w:p>
      <w:pPr>
        <w:pStyle w:val="603"/>
        <w:ind w:left="-709"/>
        <w:jc w:val="both"/>
        <w:rPr>
          <w:rFonts w:ascii="Calibri" w:hAnsi="Calibri"/>
          <w:b/>
          <w:color w:val="002060"/>
          <w:sz w:val="22"/>
          <w:szCs w:val="22"/>
          <w:u w:val="single"/>
        </w:rPr>
      </w:pPr>
      <w:r>
        <w:rPr>
          <w:rFonts w:ascii="Calibri" w:hAnsi="Calibri"/>
          <w:b/>
          <w:color w:val="002060"/>
          <w:sz w:val="22"/>
          <w:szCs w:val="22"/>
          <w:u w:val="single"/>
        </w:rPr>
        <w:t xml:space="preserve">Адрес для отправки платежных поручений об оплате пошлин:</w:t>
      </w:r>
      <w:r/>
    </w:p>
    <w:p>
      <w:pPr>
        <w:pStyle w:val="603"/>
        <w:ind w:left="-709"/>
        <w:jc w:val="both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</w:r>
      <w:r/>
    </w:p>
    <w:p>
      <w:pPr>
        <w:pStyle w:val="603"/>
        <w:ind w:left="-709"/>
        <w:jc w:val="both"/>
        <w:rPr>
          <w:b/>
          <w:i/>
          <w:color w:val="ff0000"/>
          <w:sz w:val="30"/>
          <w:szCs w:val="30"/>
          <w:shd w:val="clear" w:color="auto" w:fill="ffffff"/>
        </w:rPr>
      </w:pPr>
      <w:r>
        <w:rPr>
          <w:rFonts w:ascii="Calibri" w:hAnsi="Calibri"/>
          <w:color w:val="002060"/>
          <w:sz w:val="22"/>
          <w:szCs w:val="22"/>
        </w:rPr>
        <w:t xml:space="preserve">1) ФГБУ «Госсорткомиссия», </w:t>
      </w:r>
      <w:r>
        <w:rPr>
          <w:rFonts w:ascii="Calibri" w:hAnsi="Calibri"/>
          <w:color w:val="002060"/>
          <w:sz w:val="22"/>
          <w:szCs w:val="22"/>
        </w:rPr>
        <w:t xml:space="preserve">107</w:t>
      </w:r>
      <w:r>
        <w:rPr>
          <w:rFonts w:ascii="Calibri" w:hAnsi="Calibri"/>
          <w:color w:val="002060"/>
          <w:sz w:val="22"/>
          <w:szCs w:val="22"/>
          <w:lang w:val="en-US"/>
        </w:rPr>
        <w:t xml:space="preserve">140</w:t>
      </w:r>
      <w:r>
        <w:rPr>
          <w:rFonts w:ascii="Calibri" w:hAnsi="Calibri"/>
          <w:color w:val="002060"/>
          <w:sz w:val="22"/>
          <w:szCs w:val="22"/>
        </w:rPr>
        <w:t xml:space="preserve">, г. Москва, ул. Садовая-Спасская, д. 11/1</w:t>
      </w:r>
      <w:r>
        <w:rPr>
          <w:rFonts w:ascii="Calibri" w:hAnsi="Calibri"/>
          <w:color w:val="002060"/>
          <w:sz w:val="22"/>
          <w:szCs w:val="22"/>
        </w:rPr>
        <w:t xml:space="preserve">– </w:t>
      </w:r>
      <w:r>
        <w:rPr>
          <w:rFonts w:ascii="Calibri" w:hAnsi="Calibri"/>
          <w:b/>
          <w:bCs/>
          <w:color w:val="002060"/>
          <w:sz w:val="22"/>
          <w:szCs w:val="22"/>
        </w:rPr>
        <w:t xml:space="preserve">для писем Почты России</w:t>
      </w:r>
      <w:r>
        <w:rPr>
          <w:b/>
          <w:i/>
          <w:color w:val="ff0000"/>
          <w:sz w:val="30"/>
          <w:szCs w:val="30"/>
          <w:shd w:val="clear" w:color="auto" w:fill="ffffff"/>
        </w:rPr>
      </w:r>
      <w:r/>
    </w:p>
    <w:p>
      <w:pPr>
        <w:pStyle w:val="597"/>
        <w:ind w:left="-720"/>
        <w:jc w:val="both"/>
        <w:rPr>
          <w:b/>
          <w:sz w:val="28"/>
          <w:szCs w:val="28"/>
        </w:rPr>
      </w:pPr>
      <w:r>
        <w:rPr>
          <w:rFonts w:ascii="Calibri" w:hAnsi="Calibri"/>
          <w:color w:val="002060"/>
          <w:sz w:val="22"/>
          <w:szCs w:val="22"/>
        </w:rPr>
        <w:t xml:space="preserve">2) ФГБУ «Госсорткомиссия», 107045 </w:t>
      </w:r>
      <w:r>
        <w:rPr>
          <w:rFonts w:ascii="Calibri" w:hAnsi="Calibri"/>
          <w:color w:val="002060"/>
          <w:sz w:val="22"/>
          <w:szCs w:val="22"/>
        </w:rPr>
        <w:t xml:space="preserve">Москва, Даев пер. д. 20, 8 этаж – </w:t>
      </w:r>
      <w:r>
        <w:rPr>
          <w:rFonts w:ascii="Calibri" w:hAnsi="Calibri"/>
          <w:b/>
          <w:bCs/>
          <w:color w:val="002060"/>
          <w:sz w:val="22"/>
          <w:szCs w:val="22"/>
        </w:rPr>
        <w:t xml:space="preserve">для</w:t>
      </w:r>
      <w:r>
        <w:rPr>
          <w:rFonts w:ascii="Calibri" w:hAnsi="Calibri"/>
          <w:color w:val="00206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2060"/>
          <w:sz w:val="22"/>
          <w:szCs w:val="22"/>
        </w:rPr>
        <w:t xml:space="preserve">курьеров и экспресс-почты</w:t>
      </w:r>
      <w:r>
        <w:rPr>
          <w:b/>
          <w:sz w:val="28"/>
          <w:szCs w:val="28"/>
        </w:rPr>
      </w:r>
      <w:r/>
    </w:p>
    <w:p>
      <w:pPr>
        <w:pStyle w:val="597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97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Патентные пошлины за селекционные достижения  с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1.01.2021 года принимаются на следующий счет:</w:t>
      </w:r>
      <w:r/>
    </w:p>
    <w:p>
      <w:pPr>
        <w:pStyle w:val="597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Получатель: Межрегиональное операционное </w:t>
      </w:r>
      <w:r>
        <w:rPr>
          <w:sz w:val="28"/>
          <w:szCs w:val="28"/>
        </w:rPr>
        <w:t xml:space="preserve">УФК</w:t>
      </w:r>
      <w:r/>
    </w:p>
    <w:p>
      <w:pPr>
        <w:pStyle w:val="597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(Минсельхоз России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л/с 04951000820)</w:t>
      </w:r>
      <w:r/>
    </w:p>
    <w:p>
      <w:pPr>
        <w:pStyle w:val="597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получателя:</w:t>
      </w:r>
      <w:r>
        <w:rPr>
          <w:sz w:val="28"/>
          <w:szCs w:val="28"/>
        </w:rPr>
        <w:t xml:space="preserve"> Операционный департамент Банка России</w:t>
      </w:r>
      <w:r>
        <w:rPr>
          <w:sz w:val="28"/>
          <w:szCs w:val="28"/>
        </w:rPr>
        <w:t xml:space="preserve">//</w:t>
      </w:r>
      <w:r>
        <w:rPr>
          <w:sz w:val="28"/>
          <w:szCs w:val="28"/>
        </w:rPr>
      </w:r>
      <w:r/>
    </w:p>
    <w:p>
      <w:pPr>
        <w:pStyle w:val="597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Межрегиональное операционное УФК  г. Москва</w:t>
      </w:r>
      <w:r/>
    </w:p>
    <w:p>
      <w:pPr>
        <w:pStyle w:val="597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р/с 40102810045370000002</w:t>
      </w:r>
      <w:r/>
    </w:p>
    <w:p>
      <w:pPr>
        <w:pStyle w:val="597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Номер казначейского счета 03100643000000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19500</w:t>
      </w:r>
      <w:r/>
    </w:p>
    <w:p>
      <w:pPr>
        <w:pStyle w:val="597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л/с 04951000820</w:t>
      </w:r>
      <w:r/>
    </w:p>
    <w:p>
      <w:pPr>
        <w:pStyle w:val="597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БИК банка 024501901</w:t>
      </w:r>
      <w:r/>
    </w:p>
    <w:p>
      <w:pPr>
        <w:pStyle w:val="597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ОКТМО: 45378000</w:t>
      </w:r>
      <w:r/>
    </w:p>
    <w:p>
      <w:pPr>
        <w:pStyle w:val="597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ИНН: 7708075454</w:t>
      </w:r>
      <w:r/>
    </w:p>
    <w:p>
      <w:pPr>
        <w:pStyle w:val="597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КПП: 770801001</w:t>
      </w:r>
      <w:r/>
    </w:p>
    <w:p>
      <w:pPr>
        <w:pStyle w:val="597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Код бюджетной классификации доходов федерального бюджета КБК 082 1 15 05010 01 6000 140</w:t>
      </w:r>
      <w:r>
        <w:rPr>
          <w:sz w:val="28"/>
          <w:szCs w:val="28"/>
        </w:rPr>
      </w:r>
      <w:r/>
    </w:p>
    <w:p>
      <w:pPr>
        <w:pStyle w:val="597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 производится отдельно по каждому заявленному селекционному достижению и коду пошлин. В платежном поручении необходимо указать номер патентной пошлины в соответст</w:t>
      </w:r>
      <w:r>
        <w:rPr>
          <w:sz w:val="28"/>
          <w:szCs w:val="28"/>
        </w:rPr>
        <w:t xml:space="preserve">вии с «Положением о патентных и иных пошлинах за совершение юридически значимых действий, связанных с патентом на селекционное достижение» (Постановление Правительства РФ №735 от 14 сентября 2009 г.), культуру и название сорта (породы) за который производи</w:t>
      </w:r>
      <w:r>
        <w:rPr>
          <w:sz w:val="28"/>
          <w:szCs w:val="28"/>
        </w:rPr>
        <w:t xml:space="preserve">тся платеж.</w:t>
      </w:r>
      <w:r/>
    </w:p>
    <w:sectPr>
      <w:footnotePr/>
      <w:endnotePr/>
      <w:type w:val="nextPage"/>
      <w:pgSz w:w="11906" w:h="16838" w:orient="portrait"/>
      <w:pgMar w:top="993" w:right="566" w:bottom="53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qFormat/>
    <w:rPr>
      <w:sz w:val="24"/>
      <w:szCs w:val="24"/>
      <w:lang w:val="ru-RU" w:eastAsia="ru-RU" w:bidi="ar-SA"/>
    </w:rPr>
  </w:style>
  <w:style w:type="character" w:styleId="598">
    <w:name w:val="Основной шрифт абзаца"/>
    <w:next w:val="598"/>
    <w:link w:val="597"/>
    <w:semiHidden/>
  </w:style>
  <w:style w:type="table" w:styleId="599">
    <w:name w:val="Обычная таблица"/>
    <w:next w:val="599"/>
    <w:link w:val="597"/>
    <w:semiHidden/>
    <w:tblPr/>
  </w:style>
  <w:style w:type="numbering" w:styleId="600">
    <w:name w:val="Нет списка"/>
    <w:next w:val="600"/>
    <w:link w:val="597"/>
    <w:semiHidden/>
  </w:style>
  <w:style w:type="table" w:styleId="601">
    <w:name w:val="Сетка таблицы"/>
    <w:basedOn w:val="599"/>
    <w:next w:val="601"/>
    <w:link w:val="597"/>
    <w:tblPr/>
  </w:style>
  <w:style w:type="paragraph" w:styleId="602">
    <w:name w:val="Текст выноски"/>
    <w:basedOn w:val="597"/>
    <w:next w:val="602"/>
    <w:link w:val="597"/>
    <w:semiHidden/>
    <w:rPr>
      <w:rFonts w:ascii="Tahoma" w:hAnsi="Tahoma" w:cs="Tahoma"/>
      <w:sz w:val="16"/>
      <w:szCs w:val="16"/>
    </w:rPr>
  </w:style>
  <w:style w:type="paragraph" w:styleId="603">
    <w:name w:val="Верхний колонтитул"/>
    <w:basedOn w:val="597"/>
    <w:next w:val="603"/>
    <w:link w:val="604"/>
    <w:pPr>
      <w:tabs>
        <w:tab w:val="center" w:pos="4677" w:leader="none"/>
        <w:tab w:val="right" w:pos="9355" w:leader="none"/>
      </w:tabs>
    </w:pPr>
  </w:style>
  <w:style w:type="character" w:styleId="604">
    <w:name w:val="Верхний колонтитул Знак"/>
    <w:next w:val="604"/>
    <w:link w:val="603"/>
    <w:rPr>
      <w:sz w:val="24"/>
      <w:szCs w:val="24"/>
    </w:rPr>
  </w:style>
  <w:style w:type="paragraph" w:styleId="605">
    <w:name w:val="Нижний колонтитул"/>
    <w:basedOn w:val="597"/>
    <w:next w:val="605"/>
    <w:link w:val="606"/>
    <w:pPr>
      <w:tabs>
        <w:tab w:val="center" w:pos="4677" w:leader="none"/>
        <w:tab w:val="right" w:pos="9355" w:leader="none"/>
      </w:tabs>
    </w:pPr>
  </w:style>
  <w:style w:type="character" w:styleId="606">
    <w:name w:val="Нижний колонтитул Знак"/>
    <w:next w:val="606"/>
    <w:link w:val="605"/>
    <w:rPr>
      <w:sz w:val="24"/>
      <w:szCs w:val="24"/>
    </w:rPr>
  </w:style>
  <w:style w:type="character" w:styleId="727" w:default="1">
    <w:name w:val="Default Paragraph Font"/>
    <w:uiPriority w:val="1"/>
    <w:semiHidden/>
    <w:unhideWhenUsed/>
  </w:style>
  <w:style w:type="numbering" w:styleId="728" w:default="1">
    <w:name w:val="No List"/>
    <w:uiPriority w:val="99"/>
    <w:semiHidden/>
    <w:unhideWhenUsed/>
  </w:style>
  <w:style w:type="table" w:styleId="72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GK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БАНКОВСКИЕ РЕКВИЗИТЫ</dc:title>
  <dc:creator>RPOM</dc:creator>
  <cp:revision>6</cp:revision>
  <dcterms:created xsi:type="dcterms:W3CDTF">2022-08-11T11:36:00Z</dcterms:created>
  <dcterms:modified xsi:type="dcterms:W3CDTF">2023-11-13T13:57:40Z</dcterms:modified>
  <cp:version>1048576</cp:version>
</cp:coreProperties>
</file>